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00" w:line="560" w:lineRule="exact"/>
        <w:textAlignment w:val="auto"/>
        <w:rPr>
          <w:rFonts w:hint="default" w:ascii="Times New Roman" w:hAnsi="Times New Roman" w:eastAsia="外交黑体" w:cs="Times New Roman"/>
          <w:sz w:val="36"/>
          <w:szCs w:val="36"/>
        </w:rPr>
      </w:pPr>
      <w:r>
        <w:rPr>
          <w:rFonts w:hint="default" w:ascii="Times New Roman" w:hAnsi="Times New Roman" w:eastAsia="外交黑体" w:cs="Times New Roman"/>
          <w:sz w:val="36"/>
          <w:szCs w:val="36"/>
        </w:rPr>
        <w:t>Anexa</w:t>
      </w:r>
      <w:r>
        <w:rPr>
          <w:rFonts w:hint="default" w:ascii="Times New Roman" w:hAnsi="Times New Roman" w:eastAsia="外交黑体" w:cs="Times New Roman"/>
          <w:sz w:val="36"/>
          <w:szCs w:val="36"/>
          <w:lang w:val="en-US" w:eastAsia="zh-CN"/>
        </w:rPr>
        <w:t>2</w:t>
      </w:r>
      <w:r>
        <w:rPr>
          <w:rFonts w:hint="default" w:ascii="Times New Roman" w:hAnsi="Times New Roman" w:eastAsia="外交黑体" w:cs="Times New Roman"/>
          <w:sz w:val="36"/>
          <w:szCs w:val="36"/>
        </w:rPr>
        <w:t xml:space="preserve">: </w:t>
      </w:r>
    </w:p>
    <w:p>
      <w:pPr>
        <w:keepNext w:val="0"/>
        <w:keepLines w:val="0"/>
        <w:pageBreakBefore w:val="0"/>
        <w:widowControl w:val="0"/>
        <w:kinsoku/>
        <w:wordWrap/>
        <w:overflowPunct/>
        <w:topLinePunct w:val="0"/>
        <w:autoSpaceDE/>
        <w:autoSpaceDN/>
        <w:bidi w:val="0"/>
        <w:adjustRightInd/>
        <w:snapToGrid/>
        <w:spacing w:after="200" w:line="560" w:lineRule="exact"/>
        <w:textAlignment w:val="auto"/>
        <w:rPr>
          <w:rFonts w:hint="default" w:ascii="Times New Roman" w:hAnsi="Times New Roman" w:eastAsia="外交黑体" w:cs="Times New Roman"/>
          <w:sz w:val="36"/>
          <w:szCs w:val="36"/>
        </w:rPr>
      </w:pPr>
    </w:p>
    <w:p>
      <w:pPr>
        <w:keepNext w:val="0"/>
        <w:keepLines w:val="0"/>
        <w:pageBreakBefore w:val="0"/>
        <w:widowControl w:val="0"/>
        <w:kinsoku/>
        <w:wordWrap/>
        <w:overflowPunct/>
        <w:topLinePunct w:val="0"/>
        <w:autoSpaceDE/>
        <w:autoSpaceDN/>
        <w:bidi w:val="0"/>
        <w:adjustRightInd/>
        <w:snapToGrid/>
        <w:spacing w:after="200" w:line="560" w:lineRule="exact"/>
        <w:jc w:val="center"/>
        <w:textAlignment w:val="auto"/>
        <w:rPr>
          <w:rFonts w:hint="default" w:ascii="Times New Roman" w:hAnsi="Times New Roman" w:eastAsia="外交粗仿宋" w:cs="Times New Roman"/>
          <w:sz w:val="36"/>
          <w:szCs w:val="36"/>
        </w:rPr>
      </w:pPr>
      <w:r>
        <w:rPr>
          <w:rFonts w:hint="default" w:ascii="Times New Roman" w:hAnsi="Times New Roman" w:eastAsia="外交粗仿宋" w:cs="Times New Roman"/>
          <w:sz w:val="36"/>
          <w:szCs w:val="36"/>
        </w:rPr>
        <w:t>Informații suplimentare privind aplicarea apostilei pe actele oficiale în Republica Moldova</w:t>
      </w:r>
    </w:p>
    <w:p>
      <w:pPr>
        <w:keepNext w:val="0"/>
        <w:keepLines w:val="0"/>
        <w:pageBreakBefore w:val="0"/>
        <w:widowControl w:val="0"/>
        <w:kinsoku/>
        <w:wordWrap/>
        <w:overflowPunct/>
        <w:topLinePunct w:val="0"/>
        <w:autoSpaceDE/>
        <w:autoSpaceDN/>
        <w:bidi w:val="0"/>
        <w:adjustRightInd/>
        <w:snapToGrid/>
        <w:spacing w:after="200" w:line="560" w:lineRule="exact"/>
        <w:textAlignment w:val="auto"/>
        <w:rPr>
          <w:rFonts w:hint="default" w:ascii="Times New Roman" w:hAnsi="Times New Roman" w:eastAsia="宋体" w:cs="Times New Roman"/>
        </w:rPr>
      </w:pPr>
      <w:r>
        <w:rPr>
          <w:rFonts w:hint="default" w:ascii="Times New Roman" w:hAnsi="Times New Roman" w:eastAsia="宋体" w:cs="Times New Roman"/>
        </w:rPr>
        <w:t xml:space="preserve"> </w:t>
      </w:r>
    </w:p>
    <w:p>
      <w:pPr>
        <w:keepNext w:val="0"/>
        <w:keepLines w:val="0"/>
        <w:pageBreakBefore w:val="0"/>
        <w:widowControl w:val="0"/>
        <w:kinsoku/>
        <w:wordWrap/>
        <w:overflowPunct/>
        <w:topLinePunct w:val="0"/>
        <w:autoSpaceDE/>
        <w:autoSpaceDN/>
        <w:bidi w:val="0"/>
        <w:adjustRightInd/>
        <w:snapToGrid/>
        <w:spacing w:after="200" w:line="560" w:lineRule="exact"/>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 xml:space="preserve">Ministerul Justiției al Republicii Moldova este principala autoritate responsabilă de aplicarea apostilei pe actele oficiale, iar Ministerul Afacerilor Externe și Integrării Europene al Republicii Moldova este responsabil pentru autentificarea cu apostilă a documentelor administrative ale autorităților publice centrale emise de acestea în interes propriu. </w:t>
      </w:r>
    </w:p>
    <w:p>
      <w:pPr>
        <w:keepNext w:val="0"/>
        <w:keepLines w:val="0"/>
        <w:pageBreakBefore w:val="0"/>
        <w:widowControl w:val="0"/>
        <w:kinsoku/>
        <w:wordWrap/>
        <w:overflowPunct/>
        <w:topLinePunct w:val="0"/>
        <w:autoSpaceDE/>
        <w:autoSpaceDN/>
        <w:bidi w:val="0"/>
        <w:adjustRightInd/>
        <w:snapToGrid/>
        <w:spacing w:after="200" w:line="560" w:lineRule="exact"/>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Pentru aplicarea apostilei pe actele oficiale emise de Republica Moldova, vă rugăm să consultați Ministerul Justiției și Ministerul Afacerilor Externe și Integrării Europene al Republicii Moldova.</w:t>
      </w:r>
    </w:p>
    <w:p>
      <w:pPr>
        <w:keepNext w:val="0"/>
        <w:keepLines w:val="0"/>
        <w:pageBreakBefore w:val="0"/>
        <w:widowControl w:val="0"/>
        <w:kinsoku/>
        <w:wordWrap/>
        <w:overflowPunct/>
        <w:topLinePunct w:val="0"/>
        <w:autoSpaceDE/>
        <w:autoSpaceDN/>
        <w:bidi w:val="0"/>
        <w:adjustRightInd/>
        <w:snapToGrid/>
        <w:spacing w:after="200" w:line="560" w:lineRule="exact"/>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Solicitanții cu semnături digitale pot aplica pentru servicii relevante prin intermediul site-ului web al Ministerului Justiției din Republica Moldova www.apostila.gov.md</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外交黑体">
    <w:panose1 w:val="03000509000000000000"/>
    <w:charset w:val="86"/>
    <w:family w:val="auto"/>
    <w:pitch w:val="default"/>
    <w:sig w:usb0="00000001" w:usb1="080E0000" w:usb2="00000000" w:usb3="00000000" w:csb0="00040000" w:csb1="00000000"/>
  </w:font>
  <w:font w:name="外交粗仿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D7084"/>
    <w:rsid w:val="240D7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2023-10-24T11:35:00Z</dcterms:created>
  <dc:creator>zhuwaidiannao</dc:creator>
  <cp:lastModifiedBy>zhuwaidiannao</cp:lastModifiedBy>
  <dcterms:modified xsi:type="dcterms:W3CDTF">2023-10-24T11:35:37Z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